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Documento</w:t>
            </w:r>
          </w:p>
        </w:tc>
        <w:tc>
          <w:tcPr/>
          <w:p>
            <w:pPr/>
            <w:r>
              <w:rPr/>
              <w:t xml:space="preserve">Descarga</w:t>
            </w:r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DATOS CM AC Contratos 2019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IIDGC 2021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2022 IIDGC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2023 IIDGC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Primer Trimestre 2024 IIDGC</w:t>
            </w:r>
          </w:p>
        </w:tc>
        <w:tc>
          <w:tcPr/>
          <w:p>
            <w:pPr/>
          </w:p>
        </w:tc>
      </w:tr>
      <w:tr>
        <w:trPr/>
        <w:tc>
          <w:tcPr>
            <w:vAlign w:val="center"/>
          </w:tcPr>
          <w:p>
            <w:pPr>
              <w:jc w:val="center"/>
            </w:pPr>
            <w:r>
              <w:rPr/>
              <w:t xml:space="preserve">Contratos menores Segundo Trimestre 2024 IIDGC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2026-06-20T20:00:41+00:00</dcterms:created>
  <dcterms:modified xsi:type="dcterms:W3CDTF">2026-06-20T20:00:41+00:00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