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El IID nació como Organismo Autónomo Local de carácter administrativo sin finalidad lucrativa y de duración indefinida, con el objeto definido en el Art.3 de sus Estatutos de “consolidar, promocionar y desarrollar el deporte y la cultura física de los habitantes de la isla de Gran Canaria, sin perjuicio de que, algunas veces, sus instalaciones sean utilizadas para otras actividades de tipo cultural, social o artístico siempre que no interfieran o perjudiquen la práctica del deporte.” Sus Estatutos fueron aprobados definitivamente por el Pleno del Cabildo de Gran Canaria en sesión de fecha 30 de diciembre de 1993, siendo publicados íntegramente en el BOP nº 87, de fecha 22 de julio de 1994. Posteriormente, a 31 de julio de 1998, el Pleno del Cabildo de Gran Canaria aprobó la modificación de sus arts. 11.1 y 18.1, además de suprimir los apartados c), d) y l) del art. 37. Dicha modificación se publicó en el BOP n.º 136, de 13 de noviembre de 1998</w:t>
      </w:r>
    </w:p>
    <w:p>
      <w:pPr>
        <w:jc w:val="both"/>
      </w:pPr>
      <w:r>
        <w:rPr/>
        <w:t xml:space="preserve">Con tal finalidad procurará:</w:t>
      </w:r>
    </w:p>
    <w:p>
      <w:pPr>
        <w:jc w:val="both"/>
      </w:pPr>
      <w:r>
        <w:rPr/>
        <w:t xml:space="preserve">a) La administración, difusión, desarrollo, regulación del uso, conservación y reparación del patrimonio insular existente y afectado al mundo de los deportes. b) La creación y sostenimiento de nuevas instalaciones deportivas. c) La gestión del uso, si fuere posible, de otras instalaciones públicas o privadas, para un mejor cumplimiento de los fines del Instituto. d) La contratación, mediante oferta pública de empleo, del personal técnico, administrativo y de mantenimiento que fuere menester, para atender las distintas necesidades del Instituto.</w:t>
      </w:r>
    </w:p>
    <w:p>
      <w:pPr>
        <w:jc w:val="both"/>
      </w:pPr>
      <w:r>
        <w:rPr/>
        <w:t xml:space="preserve">e) La formalización de convenios de gestión con la Administración Central, Comunidades Autónomas, Ayuntamientos, Federaciones, Clubes, Asociaciones Deportivas y demás personas naturales o jurídicas, en virtud de los cuales el I.I.D. establecerá condiciones de gestión y cederá algunas de las instalaciones en régimen de concesión. f) La divulgación del deporte. g) La publicación y divulgación de libros, trabajos, documentos, fotografías, revistas, folletos y boletines relativos a las actividades del Instituto, y aquellos otros que se consideren de interés dentro de su ámbito de acción. h) La organización de campamentos y concursos orientados a una mayor difusión, conocimiento y práctica del deporte. i) La organización de conferencias, simposios, mesas redondas, seminarios, cursos y cualquier otro tipo de reuniones sobre los temas que constituyan los objetivos del Instituto, así como intercambios con otras actividades. j) La contratación, con empresas especializadas, de la gestión deportiva de las instalaciones y del desarrollo de programas insulares de promoción deportiva. k) Y cualesquiera otra actividad o prestación relacionada con las descritas anteriormente, preparatorias, complementarias de las mismas, y cuantas más se consideren necesarias para alcanzar los fines propuestos; sin que, por otra parte, el orden de su exposición presuponga la obligatoriedad de que todas sean atendidas ni tampoco prelación alguna.</w:t>
      </w:r>
    </w:p>
    <w:p>
      <w:pPr>
        <w:jc w:val="both"/>
      </w:pPr>
      <w:r>
        <w:rPr/>
        <w:t xml:space="preserve"> </w:t>
      </w:r>
    </w:p>
    <w:p>
      <w:pPr>
        <w:jc w:val="both"/>
      </w:pPr>
      <w:r>
        <w:rPr/>
        <w:t xml:space="preserve">La evolución presupuestaria de los últimos años ha sido la siguiente:</w:t>
      </w:r>
    </w:p>
    <w:tbl>
      <w:tblGrid>
        <w:gridCol w:w="1000" w:type="dxa"/>
        <w:gridCol w:w="3000" w:type="dxa"/>
        <w:gridCol w:w="1000" w:type="dxa"/>
      </w:tblGrid>
      <w:tblPr>
        <w:tblW w:w="5000" w:type="pct"/>
        <w:tblLayout w:type="autofit"/>
        <w:bidiVisual w:val="0"/>
      </w:tblPr>
      <w:tr>
        <w:trPr>
          <w:tblHeader w:val="1"/>
        </w:trPr>
        <w:tc>
          <w:tcPr>
            <w:tcW w:w="1000" w:type="pct"/>
            <w:vAlign w:val="center"/>
          </w:tcPr>
          <w:p>
            <w:pPr>
              <w:jc w:val="center"/>
            </w:pPr>
            <w:r>
              <w:rPr/>
              <w:t xml:space="preserve">Año</w:t>
            </w:r>
          </w:p>
        </w:tc>
        <w:tc>
          <w:tcPr>
            <w:tcW w:w="3000" w:type="pct"/>
            <w:vAlign w:val="center"/>
          </w:tcPr>
          <w:p>
            <w:pPr>
              <w:jc w:val="center"/>
            </w:pPr>
            <w:r>
              <w:rPr/>
              <w:t xml:space="preserve">Importe en euros</w:t>
            </w:r>
          </w:p>
        </w:tc>
        <w:tc>
          <w:tcPr>
            <w:tcW w:w="1000" w:type="pct"/>
            <w:vAlign w:val="center"/>
          </w:tcPr>
          <w:p>
            <w:pPr>
              <w:jc w:val="center"/>
            </w:pPr>
            <w:r>
              <w:rPr/>
              <w:t xml:space="preserve">% Variación</w:t>
            </w:r>
          </w:p>
        </w:tc>
      </w:tr>
      <w:tr>
        <w:trPr/>
        <w:tc>
          <w:tcPr>
            <w:tcW w:w="1000" w:type="pct"/>
            <w:vAlign w:val="center"/>
          </w:tcPr>
          <w:p>
            <w:pPr>
              <w:jc w:val="center"/>
            </w:pPr>
            <w:r>
              <w:rPr/>
              <w:t xml:space="preserve">2026</w:t>
            </w:r>
          </w:p>
        </w:tc>
        <w:tc>
          <w:tcPr>
            <w:tcW w:w="3000" w:type="pct"/>
            <w:vAlign w:val="center"/>
          </w:tcPr>
          <w:p>
            <w:pPr>
              <w:jc w:val="center"/>
            </w:pPr>
            <w:r>
              <w:rPr/>
              <w:t xml:space="preserve">63.810.048,93</w:t>
            </w:r>
          </w:p>
        </w:tc>
        <w:tc>
          <w:tcPr>
            <w:tcW w:w="1000" w:type="pct"/>
            <w:vAlign w:val="center"/>
          </w:tcPr>
          <w:p>
            <w:pPr>
              <w:jc w:val="center"/>
            </w:pPr>
            <w:r>
              <w:rPr/>
              <w:t xml:space="preserve">16,65 %</w:t>
            </w:r>
          </w:p>
        </w:tc>
      </w:tr>
      <w:tr>
        <w:trPr/>
        <w:tc>
          <w:tcPr>
            <w:tcW w:w="1000" w:type="pct"/>
            <w:vAlign w:val="center"/>
          </w:tcPr>
          <w:p>
            <w:pPr>
              <w:jc w:val="center"/>
            </w:pPr>
            <w:r>
              <w:rPr/>
              <w:t xml:space="preserve">2025</w:t>
            </w:r>
          </w:p>
        </w:tc>
        <w:tc>
          <w:tcPr>
            <w:tcW w:w="3000" w:type="pct"/>
            <w:vAlign w:val="center"/>
          </w:tcPr>
          <w:p>
            <w:pPr>
              <w:jc w:val="center"/>
            </w:pPr>
            <w:r>
              <w:rPr/>
              <w:t xml:space="preserve">54.702.602,98</w:t>
            </w:r>
          </w:p>
        </w:tc>
        <w:tc>
          <w:tcPr>
            <w:tcW w:w="1000" w:type="pct"/>
            <w:vAlign w:val="center"/>
          </w:tcPr>
          <w:p>
            <w:pPr>
              <w:jc w:val="center"/>
            </w:pPr>
            <w:r>
              <w:rPr/>
              <w:t xml:space="preserve">53,94%</w:t>
            </w:r>
          </w:p>
        </w:tc>
      </w:tr>
      <w:tr>
        <w:trPr/>
        <w:tc>
          <w:tcPr>
            <w:tcW w:w="1000" w:type="pct"/>
            <w:vAlign w:val="center"/>
          </w:tcPr>
          <w:p>
            <w:pPr>
              <w:jc w:val="center"/>
            </w:pPr>
            <w:r>
              <w:rPr/>
              <w:t xml:space="preserve">2024</w:t>
            </w:r>
          </w:p>
        </w:tc>
        <w:tc>
          <w:tcPr>
            <w:tcW w:w="3000" w:type="pct"/>
            <w:vAlign w:val="center"/>
          </w:tcPr>
          <w:p>
            <w:pPr>
              <w:jc w:val="center"/>
            </w:pPr>
            <w:r>
              <w:rPr/>
              <w:t xml:space="preserve">35.534.007,20</w:t>
            </w:r>
          </w:p>
        </w:tc>
        <w:tc>
          <w:tcPr>
            <w:tcW w:w="1000" w:type="pct"/>
            <w:vAlign w:val="center"/>
          </w:tcPr>
          <w:p>
            <w:pPr>
              <w:jc w:val="center"/>
            </w:pPr>
            <w:r>
              <w:rPr/>
              <w:t xml:space="preserve">26,92%</w:t>
            </w:r>
          </w:p>
        </w:tc>
      </w:tr>
      <w:tr>
        <w:trPr/>
        <w:tc>
          <w:tcPr>
            <w:tcW w:w="1000" w:type="pct"/>
            <w:vAlign w:val="center"/>
          </w:tcPr>
          <w:p>
            <w:pPr>
              <w:jc w:val="center"/>
            </w:pPr>
            <w:r>
              <w:rPr/>
              <w:t xml:space="preserve">2023</w:t>
            </w:r>
          </w:p>
        </w:tc>
        <w:tc>
          <w:tcPr>
            <w:tcW w:w="3000" w:type="pct"/>
            <w:vAlign w:val="center"/>
          </w:tcPr>
          <w:p>
            <w:pPr>
              <w:jc w:val="center"/>
            </w:pPr>
            <w:r>
              <w:rPr/>
              <w:t xml:space="preserve">27.996.262,94</w:t>
            </w:r>
          </w:p>
        </w:tc>
        <w:tc>
          <w:tcPr>
            <w:tcW w:w="1000" w:type="pct"/>
            <w:vAlign w:val="center"/>
          </w:tcPr>
          <w:p>
            <w:pPr>
              <w:jc w:val="center"/>
            </w:pPr>
            <w:r>
              <w:rPr/>
              <w:t xml:space="preserve">8,38%</w:t>
            </w:r>
          </w:p>
        </w:tc>
      </w:tr>
      <w:tr>
        <w:trPr/>
        <w:tc>
          <w:tcPr>
            <w:tcW w:w="1000" w:type="pct"/>
            <w:vAlign w:val="center"/>
          </w:tcPr>
          <w:p>
            <w:pPr>
              <w:jc w:val="center"/>
            </w:pPr>
            <w:r>
              <w:rPr/>
              <w:t xml:space="preserve">2022</w:t>
            </w:r>
          </w:p>
        </w:tc>
        <w:tc>
          <w:tcPr>
            <w:tcW w:w="3000" w:type="pct"/>
            <w:vAlign w:val="center"/>
          </w:tcPr>
          <w:p>
            <w:pPr>
              <w:jc w:val="center"/>
            </w:pPr>
            <w:r>
              <w:rPr/>
              <w:t xml:space="preserve">25.832.309,17</w:t>
            </w:r>
          </w:p>
        </w:tc>
        <w:tc>
          <w:tcPr>
            <w:tcW w:w="1000" w:type="pct"/>
            <w:vAlign w:val="center"/>
          </w:tcPr>
          <w:p>
            <w:pPr>
              <w:jc w:val="center"/>
            </w:pPr>
            <w:r>
              <w:rPr/>
              <w:t xml:space="preserve">2,65%</w:t>
            </w:r>
          </w:p>
        </w:tc>
      </w:tr>
      <w:tr>
        <w:trPr/>
        <w:tc>
          <w:tcPr>
            <w:tcW w:w="1000" w:type="pct"/>
            <w:vAlign w:val="center"/>
          </w:tcPr>
          <w:p>
            <w:pPr>
              <w:jc w:val="center"/>
            </w:pPr>
            <w:r>
              <w:rPr/>
              <w:t xml:space="preserve">2021</w:t>
            </w:r>
          </w:p>
        </w:tc>
        <w:tc>
          <w:tcPr>
            <w:tcW w:w="3000" w:type="pct"/>
            <w:vAlign w:val="center"/>
          </w:tcPr>
          <w:p>
            <w:pPr>
              <w:jc w:val="center"/>
            </w:pPr>
            <w:r>
              <w:rPr/>
              <w:t xml:space="preserve">25.166.246,04</w:t>
            </w:r>
          </w:p>
        </w:tc>
        <w:tc>
          <w:tcPr>
            <w:tcW w:w="1000" w:type="pct"/>
            <w:vAlign w:val="center"/>
          </w:tcPr>
          <w:p>
            <w:pPr>
              <w:jc w:val="center"/>
            </w:pPr>
            <w:r>
              <w:rPr/>
              <w:t xml:space="preserve">-16,89%</w:t>
            </w:r>
          </w:p>
        </w:tc>
      </w:tr>
      <w:tr>
        <w:trPr/>
        <w:tc>
          <w:tcPr>
            <w:tcW w:w="1000" w:type="pct"/>
            <w:vAlign w:val="center"/>
          </w:tcPr>
          <w:p>
            <w:pPr>
              <w:jc w:val="center"/>
            </w:pPr>
            <w:r>
              <w:rPr/>
              <w:t xml:space="preserve">2020</w:t>
            </w:r>
          </w:p>
        </w:tc>
        <w:tc>
          <w:tcPr>
            <w:tcW w:w="3000" w:type="pct"/>
            <w:vAlign w:val="center"/>
          </w:tcPr>
          <w:p>
            <w:pPr>
              <w:jc w:val="center"/>
            </w:pPr>
            <w:r>
              <w:rPr/>
              <w:t xml:space="preserve">30.282.004,95</w:t>
            </w:r>
          </w:p>
        </w:tc>
        <w:tc>
          <w:tcPr>
            <w:tcW w:w="1000" w:type="pct"/>
            <w:vAlign w:val="center"/>
          </w:tcPr>
          <w:p>
            <w:pPr>
              <w:jc w:val="center"/>
            </w:pPr>
            <w:r>
              <w:rPr/>
              <w:t xml:space="preserve">0,65%</w:t>
            </w:r>
          </w:p>
        </w:tc>
      </w:tr>
      <w:tr>
        <w:trPr/>
        <w:tc>
          <w:tcPr>
            <w:tcW w:w="1000" w:type="pct"/>
            <w:vAlign w:val="center"/>
          </w:tcPr>
          <w:p>
            <w:pPr>
              <w:jc w:val="center"/>
            </w:pPr>
            <w:r>
              <w:rPr/>
              <w:t xml:space="preserve">2019</w:t>
            </w:r>
          </w:p>
        </w:tc>
        <w:tc>
          <w:tcPr>
            <w:tcW w:w="3000" w:type="pct"/>
            <w:vAlign w:val="center"/>
          </w:tcPr>
          <w:p>
            <w:pPr>
              <w:jc w:val="center"/>
            </w:pPr>
            <w:r>
              <w:rPr/>
              <w:t xml:space="preserve">30.087.484,85</w:t>
            </w:r>
          </w:p>
        </w:tc>
        <w:tc>
          <w:tcPr>
            <w:tcW w:w="1000" w:type="pct"/>
            <w:vAlign w:val="center"/>
          </w:tcPr>
          <w:p>
            <w:pPr>
              <w:jc w:val="center"/>
            </w:pPr>
            <w:r>
              <w:rPr/>
              <w:t xml:space="preserve">1,18%</w:t>
            </w:r>
          </w:p>
        </w:tc>
      </w:tr>
      <w:tr>
        <w:trPr/>
        <w:tc>
          <w:tcPr>
            <w:tcW w:w="1000" w:type="pct"/>
            <w:vAlign w:val="center"/>
          </w:tcPr>
          <w:p>
            <w:pPr>
              <w:jc w:val="center"/>
            </w:pPr>
            <w:r>
              <w:rPr/>
              <w:t xml:space="preserve">2018</w:t>
            </w:r>
          </w:p>
        </w:tc>
        <w:tc>
          <w:tcPr>
            <w:tcW w:w="3000" w:type="pct"/>
            <w:vAlign w:val="center"/>
          </w:tcPr>
          <w:p>
            <w:pPr>
              <w:jc w:val="center"/>
            </w:pPr>
            <w:r>
              <w:rPr/>
              <w:t xml:space="preserve">29.736.369,87</w:t>
            </w:r>
          </w:p>
        </w:tc>
        <w:tc>
          <w:tcPr>
            <w:tcW w:w="1000" w:type="pct"/>
            <w:vAlign w:val="center"/>
          </w:tcPr>
          <w:p>
            <w:pPr>
              <w:jc w:val="center"/>
            </w:pPr>
            <w:r>
              <w:rPr/>
              <w:t xml:space="preserve">2,38%</w:t>
            </w:r>
          </w:p>
        </w:tc>
      </w:tr>
    </w:tbl>
    <w:p>
      <w:pPr>
        <w:jc w:val="both"/>
      </w:pPr>
      <w:r>
        <w:rPr/>
        <w:t xml:space="preserve">Para el ejercicio 2026 se ha presupuestado la cantidad de 63.810.048,93 €, lo que supone un incremento, con respecto al ejercicio 2025, del 16,65 %. Este presupuesto se financia en su mayoría por transferencias del Cabildo Insular de Gran Canaria (en el año 2026, en un 96,78%) y el resto por ingresos propios. Actualmente, la sede del IID está en el complejo deportivo de Siete Palmas, en la ciudad de La Palmas de Gran Canaria (calle Fondos de Segura, 1, 35019). Al final de esta página, puede ver un mapa de situación interactivo. </w:t>
      </w:r>
    </w:p>
    <w:tbl>
      <w:tblGrid>
        <w:gridCol w:w="490200" w:type="dxa"/>
        <w:gridCol w:w="14100" w:type="dxa"/>
      </w:tblGrid>
      <w:tblPr>
        <w:tblW w:w="5000" w:type="pct"/>
        <w:tblLayout w:type="autofit"/>
        <w:bidiVisual w:val="0"/>
      </w:tblPr>
      <w:tr>
        <w:trPr>
          <w:tblHeader w:val="1"/>
        </w:trPr>
        <w:tc>
          <w:tcPr>
            <w:tcW w:w="450" w:type="pct"/>
            <w:vAlign w:val="center"/>
            <w:gridSpan w:val="2"/>
          </w:tcPr>
          <w:p>
            <w:pPr>
              <w:jc w:val="center"/>
            </w:pPr>
            <w:r>
              <w:rPr/>
              <w:t xml:space="preserve">Información de interés</w:t>
            </w:r>
          </w:p>
        </w:tc>
      </w:tr>
      <w:tr>
        <w:trPr/>
        <w:tc>
          <w:tcPr>
            <w:tcW w:w="490200" w:type="pct"/>
            <w:vAlign w:val="center"/>
          </w:tcPr>
          <w:p>
            <w:pPr>
              <w:jc w:val="center"/>
            </w:pPr>
            <w:r>
              <w:rPr/>
              <w:t xml:space="preserve">Sede electrónica</w:t>
            </w:r>
          </w:p>
        </w:tc>
        <w:tc>
          <w:tcPr>
            <w:tcW w:w="14100" w:type="pct"/>
            <w:vAlign w:val="center"/>
          </w:tcPr>
          <w:p>
            <w:pPr>
              <w:jc w:val="center"/>
            </w:pPr>
          </w:p>
        </w:tc>
      </w:tr>
      <w:tr>
        <w:trPr/>
        <w:tc>
          <w:tcPr>
            <w:tcW w:w="490200" w:type="pct"/>
            <w:vAlign w:val="center"/>
          </w:tcPr>
          <w:p>
            <w:pPr>
              <w:jc w:val="center"/>
            </w:pPr>
            <w:r>
              <w:rPr/>
              <w:t xml:space="preserve">Saluda del Consejero</w:t>
            </w:r>
          </w:p>
        </w:tc>
        <w:tc>
          <w:tcPr>
            <w:tcW w:w="14100" w:type="pct"/>
            <w:vAlign w:val="center"/>
          </w:tcPr>
          <w:p>
            <w:pPr>
              <w:jc w:val="center"/>
            </w:pPr>
          </w:p>
        </w:tc>
      </w:tr>
      <w:tr>
        <w:trPr/>
        <w:tc>
          <w:tcPr>
            <w:tcW w:w="490200" w:type="pct"/>
            <w:vAlign w:val="center"/>
          </w:tcPr>
          <w:p>
            <w:pPr>
              <w:jc w:val="center"/>
            </w:pPr>
            <w:r>
              <w:rPr/>
              <w:t xml:space="preserve">Estatutos y legislación</w:t>
            </w:r>
          </w:p>
        </w:tc>
        <w:tc>
          <w:tcPr>
            <w:tcW w:w="14100" w:type="pct"/>
            <w:vAlign w:val="center"/>
          </w:tcPr>
          <w:p>
            <w:pPr>
              <w:jc w:val="center"/>
            </w:pPr>
          </w:p>
        </w:tc>
      </w:tr>
      <w:tr>
        <w:trPr/>
        <w:tc>
          <w:tcPr>
            <w:tcW w:w="490200" w:type="pct"/>
            <w:vAlign w:val="center"/>
          </w:tcPr>
          <w:p>
            <w:pPr>
              <w:jc w:val="center"/>
            </w:pPr>
            <w:r>
              <w:rPr/>
              <w:t xml:space="preserve">Información General de la Entidad</w:t>
            </w:r>
          </w:p>
        </w:tc>
        <w:tc>
          <w:tcPr>
            <w:tcW w:w="14100" w:type="pct"/>
            <w:vAlign w:val="center"/>
          </w:tcPr>
          <w:p>
            <w:pPr>
              <w:jc w:val="center"/>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2026-06-20T20:58:51+00:00</dcterms:created>
  <dcterms:modified xsi:type="dcterms:W3CDTF">2026-06-20T20:58:51+00:00</dcterms:modified>
</cp:coreProperties>
</file>

<file path=docProps/custom.xml><?xml version="1.0" encoding="utf-8"?>
<Properties xmlns="http://schemas.openxmlformats.org/officeDocument/2006/custom-properties" xmlns:vt="http://schemas.openxmlformats.org/officeDocument/2006/docPropsVTypes"/>
</file>