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el Instituto Insular de Deportes de Gran Canarias no ha emitido resoluciones denegatorias del derecho de acceso a la información pública.</w:t>
      </w:r>
    </w:p>
    <w:p>
      <w:pPr/>
      <w:r>
        <w:rPr/>
        <w:t xml:space="preserve"> </w:t>
      </w:r>
    </w:p>
    <w:tbl>
      <w:tblGrid>
        <w:gridCol w:w="42100" w:type="dxa"/>
        <w:gridCol w:w="26400" w:type="dxa"/>
        <w:gridCol w:w="26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2100" w:type="pct"/>
            <w:vAlign w:val="center"/>
          </w:tcPr>
          <w:p>
            <w:pPr>
              <w:jc w:val="center"/>
            </w:pPr>
            <w:r>
              <w:rPr/>
              <w:t xml:space="preserve">Resoluciones denegatorias del derecho de acceso a la información pública 2025</w:t>
            </w:r>
          </w:p>
        </w:tc>
        <w:tc>
          <w:tcPr>
            <w:tcW w:w="26400" w:type="pct"/>
          </w:tcPr>
          <w:p>
            <w:pPr/>
          </w:p>
        </w:tc>
        <w:tc>
          <w:tcPr>
            <w:tcW w:w="2640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2026-08-04T22:49:24+00:00</dcterms:created>
  <dcterms:modified xsi:type="dcterms:W3CDTF">2026-08-04T22:49:24+00:00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