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300" w:type="dxa"/>
        <w:gridCol w:w="494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2025</w:t>
            </w:r>
          </w:p>
        </w:tc>
        <w:tc>
          <w:tcPr>
            <w:tcW w:w="49435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2024</w:t>
            </w:r>
          </w:p>
        </w:tc>
        <w:tc>
          <w:tcPr>
            <w:tcW w:w="49435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2023</w:t>
            </w:r>
          </w:p>
        </w:tc>
        <w:tc>
          <w:tcPr>
            <w:tcW w:w="494350" w:type="pct"/>
          </w:tcPr>
          <w:p>
            <w:pPr/>
          </w:p>
        </w:tc>
      </w:tr>
      <w:tr>
        <w:trPr/>
        <w:tc>
          <w:tcPr>
            <w:tcW w:w="48300" w:type="pct"/>
            <w:vAlign w:val="center"/>
          </w:tcPr>
          <w:p>
            <w:pPr>
              <w:jc w:val="center"/>
            </w:pPr>
            <w:r>
              <w:rPr/>
              <w:t xml:space="preserve">Gastos por arrendamiento de bienes inmuebles 2022</w:t>
            </w:r>
          </w:p>
        </w:tc>
        <w:tc>
          <w:tcPr>
            <w:tcW w:w="494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2026-06-20T20:04:13+00:00</dcterms:created>
  <dcterms:modified xsi:type="dcterms:W3CDTF">2026-06-20T20:04:13+00:00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